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kinsoku w:val="0"/>
        <w:wordWrap/>
        <w:autoSpaceDE w:val="0"/>
        <w:autoSpaceDN w:val="0"/>
        <w:adjustRightInd w:val="0"/>
        <w:snapToGrid w:val="0"/>
        <w:spacing w:afterLines="100" w:line="240" w:lineRule="auto"/>
        <w:jc w:val="both"/>
        <w:textAlignment w:val="baseline"/>
        <w:outlineLvl w:val="0"/>
        <w:rPr>
          <w:rFonts w:hint="default" w:ascii="方正小标宋简体" w:hAnsi="方正小标宋简体" w:eastAsia="方正小标宋简体" w:cs="方正小标宋简体"/>
          <w:spacing w:val="8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30"/>
          <w:szCs w:val="30"/>
          <w:lang w:val="en-US" w:eastAsia="zh-CN"/>
        </w:rPr>
        <w:t>附件1</w:t>
      </w:r>
    </w:p>
    <w:p>
      <w:pPr>
        <w:spacing w:before="1" w:line="2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2024第九届国际（三亚）铝产业链绿色发展</w:t>
      </w:r>
    </w:p>
    <w:p>
      <w:pPr>
        <w:spacing w:before="1" w:line="2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高峰论坛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方案</w:t>
      </w:r>
    </w:p>
    <w:p>
      <w:pPr>
        <w:spacing w:line="588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widowControl/>
        <w:wordWrap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为深入贯彻落实党的二十届三中全会精神，积极应对国内外新形势、新机遇、新挑战，以“轻起来、高起来、环起来、绿起来、强起来”为方向，在中国式现代化进程中，努力推动我国铝加工产业高质量发展。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山东魏桥创业集团有限公司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、山东创新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有限公司拟于202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在三亚举办第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届国际铝产业链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发展高峰论坛。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邀请国内外铝行业精英，共同探讨分析铝产业面临的新趋势、新方向，分享产业转型升级的新动向和产业合作的新机遇，深化与行业领军企业的交流合作，推动铝产业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加快形成新质生产力，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为中国乃至世界铝产业高质量发展聚势赋能。</w:t>
      </w:r>
    </w:p>
    <w:p>
      <w:pPr>
        <w:spacing w:before="190" w:line="228" w:lineRule="auto"/>
        <w:ind w:left="646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一．名称和主题</w:t>
      </w:r>
    </w:p>
    <w:p>
      <w:pPr>
        <w:widowControl/>
        <w:wordWrap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名称：2024第九届国际（三亚）铝产业链绿色发展高峰论坛</w:t>
      </w:r>
    </w:p>
    <w:p>
      <w:pPr>
        <w:widowControl/>
        <w:wordWrap/>
        <w:autoSpaceDE w:val="0"/>
        <w:autoSpaceDN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主题：科创引领·绿色发展·合作共赢</w:t>
      </w:r>
    </w:p>
    <w:p>
      <w:pPr>
        <w:spacing w:before="190" w:line="228" w:lineRule="auto"/>
        <w:ind w:left="646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二．活动时间</w:t>
      </w:r>
    </w:p>
    <w:p>
      <w:pPr>
        <w:pStyle w:val="7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598" w:leftChars="304" w:right="75" w:hanging="960" w:hanging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2024年11月19日-22日</w:t>
      </w:r>
    </w:p>
    <w:p>
      <w:pPr>
        <w:pStyle w:val="7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610" w:leftChars="304" w:right="75" w:hanging="972" w:hangingChars="300"/>
        <w:jc w:val="both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三．活动地点</w:t>
      </w:r>
    </w:p>
    <w:p>
      <w:pPr>
        <w:pStyle w:val="7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598" w:leftChars="304" w:right="75" w:hanging="960" w:hanging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三亚亚特兰蒂斯酒店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firstLine="648" w:firstLineChars="200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四．主办单位</w:t>
      </w:r>
    </w:p>
    <w:p>
      <w:pPr>
        <w:pStyle w:val="7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598" w:leftChars="304" w:right="75" w:hanging="960" w:hanging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山东魏桥创业集团有限公司</w:t>
      </w:r>
    </w:p>
    <w:p>
      <w:pPr>
        <w:pStyle w:val="7"/>
        <w:widowControl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left="1598" w:leftChars="304" w:right="75" w:hanging="960" w:hanging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山东创新集团有限公司</w:t>
      </w:r>
    </w:p>
    <w:p>
      <w:pPr>
        <w:spacing w:before="190" w:line="228" w:lineRule="auto"/>
        <w:ind w:left="646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五．参会人员（约800人）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（一）政府领导及行业协会（约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100人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z w:val="32"/>
          <w:szCs w:val="32"/>
          <w:lang w:val="en-US" w:eastAsia="zh-CN"/>
        </w:rPr>
        <w:t>魏桥创业集团和创新集团铝产业链、新能源汽车、光伏产业的战略合作伙伴，公司内部高管及业务人员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700人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</w:p>
    <w:p>
      <w:pPr>
        <w:spacing w:before="190" w:line="228" w:lineRule="auto"/>
        <w:ind w:left="646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六. 日程安排</w:t>
      </w:r>
    </w:p>
    <w:p>
      <w:pPr>
        <w:spacing w:line="128" w:lineRule="auto"/>
        <w:rPr>
          <w:rFonts w:ascii="Arial"/>
          <w:sz w:val="2"/>
        </w:rPr>
      </w:pPr>
    </w:p>
    <w:tbl>
      <w:tblPr>
        <w:tblpPr w:leftFromText="180" w:rightFromText="180" w:vertAnchor="text" w:horzAnchor="page" w:tblpXSpec="center" w:tblpY="4"/>
        <w:tblOverlap w:val="never"/>
        <w:tblW w:w="901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657"/>
        <w:gridCol w:w="39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397" w:type="dxa"/>
            <w:vAlign w:val="top"/>
          </w:tcPr>
          <w:p>
            <w:pPr>
              <w:spacing w:before="190" w:line="22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4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4"/>
                <w:sz w:val="24"/>
                <w:szCs w:val="24"/>
              </w:rPr>
              <w:t>期</w:t>
            </w:r>
          </w:p>
        </w:tc>
        <w:tc>
          <w:tcPr>
            <w:tcW w:w="2657" w:type="dxa"/>
            <w:tcBorders>
              <w:bottom w:val="single" w:color="000000" w:sz="2" w:space="0"/>
            </w:tcBorders>
            <w:vAlign w:val="top"/>
          </w:tcPr>
          <w:p>
            <w:pPr>
              <w:spacing w:before="191" w:line="223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4"/>
                <w:szCs w:val="24"/>
              </w:rPr>
              <w:t>间</w:t>
            </w:r>
          </w:p>
        </w:tc>
        <w:tc>
          <w:tcPr>
            <w:tcW w:w="3959" w:type="dxa"/>
            <w:tcBorders>
              <w:bottom w:val="single" w:color="000000" w:sz="2" w:space="0"/>
            </w:tcBorders>
            <w:vAlign w:val="top"/>
          </w:tcPr>
          <w:p>
            <w:pPr>
              <w:spacing w:before="191" w:line="22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4"/>
                <w:szCs w:val="24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397" w:type="dxa"/>
            <w:vAlign w:val="center"/>
          </w:tcPr>
          <w:p>
            <w:pPr>
              <w:pStyle w:val="9"/>
              <w:spacing w:before="78" w:line="215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57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205" w:line="18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08:00-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:00</w:t>
            </w:r>
          </w:p>
        </w:tc>
        <w:tc>
          <w:tcPr>
            <w:tcW w:w="3959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205" w:line="18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注册报到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397" w:type="dxa"/>
            <w:vMerge w:val="restart"/>
            <w:vAlign w:val="top"/>
          </w:tcPr>
          <w:p>
            <w:pPr>
              <w:spacing w:line="30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before="78" w:line="215" w:lineRule="auto"/>
              <w:ind w:firstLine="856" w:firstLineChars="400"/>
              <w:jc w:val="center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78" w:line="215" w:lineRule="auto"/>
              <w:ind w:firstLine="856" w:firstLineChars="400"/>
              <w:jc w:val="center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78" w:line="215" w:lineRule="auto"/>
              <w:ind w:firstLine="856" w:firstLineChars="400"/>
              <w:jc w:val="center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78" w:line="215" w:lineRule="auto"/>
              <w:ind w:firstLine="856" w:firstLineChars="400"/>
              <w:jc w:val="center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</w:pPr>
          </w:p>
          <w:p>
            <w:pPr>
              <w:pStyle w:val="9"/>
              <w:spacing w:before="78" w:line="215" w:lineRule="auto"/>
              <w:jc w:val="center"/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）</w:t>
            </w:r>
          </w:p>
          <w:p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7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before="78" w:line="215" w:lineRule="auto"/>
              <w:ind w:left="7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298" w:line="188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0-09:50</w:t>
            </w:r>
          </w:p>
        </w:tc>
        <w:tc>
          <w:tcPr>
            <w:tcW w:w="3959" w:type="dxa"/>
            <w:tcBorders>
              <w:bottom w:val="single" w:color="000000" w:sz="2" w:space="0"/>
            </w:tcBorders>
            <w:vAlign w:val="top"/>
          </w:tcPr>
          <w:p>
            <w:pPr>
              <w:pStyle w:val="9"/>
              <w:spacing w:before="87" w:line="241" w:lineRule="auto"/>
              <w:ind w:left="220" w:leftChars="0" w:right="293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2024国际（三亚）铝产业链绿色发展高峰论坛开幕式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pStyle w:val="9"/>
              <w:spacing w:before="78" w:line="215" w:lineRule="auto"/>
              <w:ind w:left="712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30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10:00-12:00</w:t>
            </w:r>
          </w:p>
        </w:tc>
        <w:tc>
          <w:tcPr>
            <w:tcW w:w="3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27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大会报告会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pStyle w:val="9"/>
              <w:spacing w:before="78" w:line="215" w:lineRule="auto"/>
              <w:ind w:left="7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pStyle w:val="9"/>
              <w:spacing w:before="78" w:line="1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:00</w:t>
            </w:r>
          </w:p>
        </w:tc>
        <w:tc>
          <w:tcPr>
            <w:tcW w:w="3959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pStyle w:val="9"/>
              <w:spacing w:before="189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铝产业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分论坛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14:30-17:00</w:t>
            </w:r>
          </w:p>
        </w:tc>
        <w:tc>
          <w:tcPr>
            <w:tcW w:w="3959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pStyle w:val="9"/>
              <w:spacing w:before="174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能源汽车及轻量化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分论坛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9"/>
              <w:spacing w:before="78" w:line="1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0-18: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959" w:type="dxa"/>
            <w:vAlign w:val="center"/>
          </w:tcPr>
          <w:p>
            <w:pPr>
              <w:pStyle w:val="9"/>
              <w:spacing w:before="87" w:line="259" w:lineRule="auto"/>
              <w:ind w:left="117" w:right="106" w:firstLine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专场文艺演出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9"/>
              <w:spacing w:before="78"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19:00-20:30</w:t>
            </w:r>
          </w:p>
        </w:tc>
        <w:tc>
          <w:tcPr>
            <w:tcW w:w="3959" w:type="dxa"/>
            <w:vAlign w:val="center"/>
          </w:tcPr>
          <w:p>
            <w:pPr>
              <w:pStyle w:val="9"/>
              <w:spacing w:before="87" w:line="240" w:lineRule="auto"/>
              <w:ind w:left="117" w:right="106" w:firstLine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欢迎晚宴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Merge w:val="restart"/>
            <w:vAlign w:val="center"/>
          </w:tcPr>
          <w:p>
            <w:pPr>
              <w:pStyle w:val="9"/>
              <w:spacing w:before="170" w:line="2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月21日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57" w:type="dxa"/>
            <w:vAlign w:val="center"/>
          </w:tcPr>
          <w:p>
            <w:pPr>
              <w:pStyle w:val="9"/>
              <w:spacing w:before="201" w:line="18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全天</w:t>
            </w:r>
          </w:p>
        </w:tc>
        <w:tc>
          <w:tcPr>
            <w:tcW w:w="3959" w:type="dxa"/>
            <w:vAlign w:val="center"/>
          </w:tcPr>
          <w:p>
            <w:pPr>
              <w:pStyle w:val="9"/>
              <w:spacing w:before="170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商务洽谈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Merge w:val="continue"/>
            <w:vAlign w:val="top"/>
          </w:tcPr>
          <w:p>
            <w:pPr>
              <w:pStyle w:val="9"/>
              <w:spacing w:before="170" w:line="215" w:lineRule="auto"/>
              <w:ind w:left="712"/>
              <w:jc w:val="center"/>
              <w:rPr>
                <w:rFonts w:hint="eastAsia" w:ascii="仿宋_GB2312" w:hAnsi="仿宋_GB2312" w:eastAsia="仿宋_GB2312" w:cs="仿宋_GB2312"/>
                <w:spacing w:val="-34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>
            <w:pPr>
              <w:pStyle w:val="9"/>
              <w:spacing w:before="201" w:line="188" w:lineRule="auto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18:30-20:30</w:t>
            </w:r>
          </w:p>
        </w:tc>
        <w:tc>
          <w:tcPr>
            <w:tcW w:w="3959" w:type="dxa"/>
            <w:vAlign w:val="center"/>
          </w:tcPr>
          <w:p>
            <w:pPr>
              <w:pStyle w:val="9"/>
              <w:spacing w:before="170" w:line="214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海滨草坪烧烤沙龙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vAlign w:val="center"/>
          </w:tcPr>
          <w:p>
            <w:pPr>
              <w:pStyle w:val="9"/>
              <w:spacing w:before="78" w:line="2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36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16" w:type="dxa"/>
            <w:gridSpan w:val="2"/>
            <w:vAlign w:val="center"/>
          </w:tcPr>
          <w:p>
            <w:pPr>
              <w:pStyle w:val="9"/>
              <w:spacing w:before="168" w:line="21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活动结束，礼送返程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190" w:line="228" w:lineRule="auto"/>
        <w:ind w:left="646"/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1"/>
          <w:szCs w:val="31"/>
          <w:lang w:val="en-US" w:eastAsia="zh-CN"/>
        </w:rPr>
        <w:t>七.主要活动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共安排六项主要活动，分别是2024国际（三亚）铝产业链绿色发展高峰论坛开幕式、铝产业分论坛、新能源汽车及轻量化分论坛、专场文艺演出、欢迎晚宴、烧烤沙龙等。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2024国际（三亚）铝产业链绿色发展高峰论坛开幕式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时间：11月20日  09:00-12:00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地点：亚特兰蒂斯酒店大宴会厅（2304平方米）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（二）铝产业分论坛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时间：11月20日  14:00-16:00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地点：亚特兰蒂斯酒店大宴会厅（2304平方米）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（三）新能源汽车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及轻量化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分论坛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时间：11月20日  14:30-17:00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地点：亚特兰蒂斯酒店Silk宴会厅（495平方米） 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（四）专场文艺演出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时间：11月20日  17:30-18:45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地点：亚特兰蒂斯酒店大宴会厅（2304平方米）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（五）欢迎晚宴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时间：11月20日  19:00-20:30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地点：亚特兰蒂斯酒店大宴会厅（2304平方米）</w:t>
      </w:r>
    </w:p>
    <w:p>
      <w:pPr>
        <w:widowControl/>
        <w:kinsoku w:val="0"/>
        <w:wordWrap/>
        <w:autoSpaceDE w:val="0"/>
        <w:autoSpaceDN w:val="0"/>
        <w:adjustRightInd w:val="0"/>
        <w:snapToGrid w:val="0"/>
        <w:spacing w:line="560" w:lineRule="exact"/>
        <w:ind w:left="629"/>
        <w:textAlignment w:val="baseline"/>
        <w:outlineLvl w:val="1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（六）烧烤沙龙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时间：11月21日  18:30-20:30</w:t>
      </w:r>
    </w:p>
    <w:p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FangSong_GB2312" w:hAnsi="FangSong_GB2312" w:eastAsia="FangSong_GB2312" w:cs="FangSong_GB2312"/>
          <w:snapToGrid w:val="0"/>
          <w:color w:val="000000"/>
          <w:spacing w:val="10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地点：亚特兰蒂斯酒店临海大草坪 （3500平方米）</w:t>
      </w:r>
    </w:p>
    <w:sectPr>
      <w:footerReference r:id="rId4" w:type="default"/>
      <w:pgSz w:w="11906" w:h="16839"/>
      <w:pgMar w:top="1431" w:right="1384" w:bottom="1164" w:left="1483" w:header="0" w:footer="929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rPr>
        <w:rFonts w:ascii="宋体" w:hAnsi="宋体" w:eastAsia="宋体" w:cs="宋体"/>
        <w:sz w:val="24"/>
        <w:szCs w:val="24"/>
      </w:rPr>
    </w:pPr>
    <w:r>
      <w:rPr>
        <w:rFonts w:ascii="Arial" w:hAnsi="Arial" w:eastAsia="Arial" w:cs="Arial"/>
        <w:snapToGrid w:val="0"/>
        <w:color w:val="000000"/>
        <w:kern w:val="0"/>
        <w:sz w:val="24"/>
        <w:szCs w:val="21"/>
        <w:lang w:val="en-US" w:eastAsia="en-US" w:bidi="ar-SA"/>
      </w:rPr>
      <w:pict>
        <v:rect id="文本框 7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spacing w:before="100" w:beforeAutospacing="1" w:after="100" w:afterAutospacing="1"/>
      <w:ind w:left="360" w:leftChars="0"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917</Words>
  <Characters>1129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2023-02-18T15:46:00Z</dcterms:created>
  <dc:creator>拉黄包车的</dc:creator>
  <cp:lastModifiedBy>1-46-034</cp:lastModifiedBy>
  <dcterms:modified xsi:type="dcterms:W3CDTF">2024-09-10T07:54:20Z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2024-08-19T10:03:00Z</vt:filetime>
  </property>
  <property fmtid="{D5CDD505-2E9C-101B-9397-08002B2CF9AE}" pid="4" name="KSOProductBuildVer">
    <vt:lpwstr>2052-9.1.0.4468</vt:lpwstr>
  </property>
  <property fmtid="{D5CDD505-2E9C-101B-9397-08002B2CF9AE}" pid="5" name="ICV">
    <vt:lpwstr>94D402F7055E40369819296634DC576F_13</vt:lpwstr>
  </property>
</Properties>
</file>